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39CF" w14:textId="42BC60D7" w:rsidR="00144C1A" w:rsidRPr="00EA0DF9" w:rsidRDefault="00770EB1" w:rsidP="0025644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ES"/>
        </w:rPr>
        <w:t>REFERENCIAS MANEJO QUIRÚRGICO DE LA INSUFICIENCIA LIMBAR</w:t>
      </w:r>
    </w:p>
    <w:p w14:paraId="4FDBF970" w14:textId="7823B436" w:rsidR="00770EB1" w:rsidRPr="00EA0DF9" w:rsidRDefault="00770EB1" w:rsidP="0025644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ES"/>
        </w:rPr>
        <w:t>LUIS F MEJIA, MD</w:t>
      </w:r>
    </w:p>
    <w:p w14:paraId="0CC57933" w14:textId="0EC75D7E" w:rsidR="00770EB1" w:rsidRPr="00EA0DF9" w:rsidRDefault="00770EB1" w:rsidP="00950D29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0906EBC5" w14:textId="77777777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A9228C" w14:textId="6D451BD6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Abdelrahman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Elhusseiny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Mohammad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Soleimani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Taher K.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Eleiwa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H.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ElSheikh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Charles R. Frank,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Morteza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Naderan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Ghasem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Yazdanpanah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Mark I. Rosenblatt, Ali R.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Djalilian</w:t>
      </w:r>
      <w:proofErr w:type="spellEnd"/>
      <w:r w:rsidR="0025644C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Current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Emerging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Therapies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</w:t>
      </w:r>
    </w:p>
    <w:p w14:paraId="3D8104FD" w14:textId="5A430391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Cells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Translational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Medicine, 2022, 11, 259–268</w:t>
      </w:r>
    </w:p>
    <w:p w14:paraId="57ECA8F7" w14:textId="77777777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E45E31" w14:textId="001A52D9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Araujo AL, Ricardo JR, Sakai VN, et al. Impression cytology and in vivo confocal microscopy in corneas with total limbal stem cell deficiency.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Arq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Bras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Oftalmol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</w:rPr>
        <w:t>2013;76:305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</w:rPr>
        <w:t>–308.108.</w:t>
      </w:r>
    </w:p>
    <w:p w14:paraId="0CE8F0B4" w14:textId="4FE27275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C18553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Ballios BG, </w:t>
      </w:r>
      <w:proofErr w:type="spellStart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Weisbrod</w:t>
      </w:r>
      <w:proofErr w:type="spellEnd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M, Chan CC, </w:t>
      </w:r>
      <w:proofErr w:type="spellStart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Borovik</w:t>
      </w:r>
      <w:proofErr w:type="spellEnd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A, Schiff JR, </w:t>
      </w:r>
      <w:proofErr w:type="spellStart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Tinckam</w:t>
      </w:r>
      <w:proofErr w:type="spellEnd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KJ, </w:t>
      </w:r>
      <w:proofErr w:type="spellStart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Humar</w:t>
      </w:r>
      <w:proofErr w:type="spellEnd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A, Kim SJ, Cole EH, </w:t>
      </w:r>
      <w:proofErr w:type="spellStart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Slomovic</w:t>
      </w:r>
      <w:proofErr w:type="spellEnd"/>
      <w:r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AR. Systemic immunosuppression in limbal stem cell transplantation: best practices and future challenges. Can J Ophthalmol. 2018 Aug;53(4):314-323</w:t>
      </w:r>
    </w:p>
    <w:p w14:paraId="3D4DDA6E" w14:textId="77777777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3CD04C" w14:textId="7CF91EAC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Boris E.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Malyugin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PhD, Svetlana Y.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Kalinnikova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Boris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Knyazer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andMaxim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Y.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Gerasimov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MD .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Midterm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Autologous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Glueless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Simple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Epithelial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Unilateral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</w:p>
    <w:p w14:paraId="190FE654" w14:textId="1203DB84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Cornea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2024;43:45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–51</w:t>
      </w:r>
    </w:p>
    <w:p w14:paraId="42A9681C" w14:textId="7A7D957D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F145D1" w14:textId="77777777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Chan EH, Chen L, Yu F, et al. Epithelial thinning in limbal stem cell deficiency. Am J Ophthalmol.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</w:rPr>
        <w:t>2015;160:669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</w:rPr>
        <w:t>–677.e664.</w:t>
      </w:r>
    </w:p>
    <w:p w14:paraId="3EDCDC03" w14:textId="66800176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DD5230" w14:textId="4E14CAE8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Edgar M.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Espana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Martin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Grueterich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, MD,</w:t>
      </w:r>
      <w:r w:rsidR="0025644C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Seng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Ei Ti, MD, Scheffer C. G.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Tseng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PhD 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Phenotypic</w:t>
      </w:r>
      <w:proofErr w:type="spellEnd"/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Study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 Case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Receiving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keratolimbal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Allograft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Amniotic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Membrane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Total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Ophthalmology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2003;110: 481–486</w:t>
      </w:r>
    </w:p>
    <w:p w14:paraId="57C501A7" w14:textId="77777777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54775B" w14:textId="0EB8F9AE" w:rsidR="0025644C" w:rsidRPr="00EA0DF9" w:rsidRDefault="00E3131F" w:rsidP="00E3131F">
      <w:pPr>
        <w:tabs>
          <w:tab w:val="num" w:pos="720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Edward J Holland</w:t>
        </w:r>
      </w:hyperlink>
      <w:r w:rsidRPr="00EA0DF9">
        <w:rPr>
          <w:rFonts w:ascii="Arial" w:hAnsi="Arial" w:cs="Arial"/>
          <w:color w:val="000000" w:themeColor="text1"/>
          <w:sz w:val="24"/>
          <w:szCs w:val="24"/>
          <w:vertAlign w:val="superscript"/>
        </w:rPr>
        <w:t> 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t>, </w:t>
      </w:r>
      <w:hyperlink r:id="rId5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Ali R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Djalilian</w:t>
        </w:r>
        <w:proofErr w:type="spellEnd"/>
      </w:hyperlink>
      <w:r w:rsidRPr="00EA0DF9">
        <w:rPr>
          <w:rFonts w:ascii="Arial" w:hAnsi="Arial" w:cs="Arial"/>
          <w:color w:val="000000" w:themeColor="text1"/>
          <w:sz w:val="24"/>
          <w:szCs w:val="24"/>
        </w:rPr>
        <w:t>, </w:t>
      </w:r>
      <w:hyperlink r:id="rId6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Gary S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Schwartz</w:t>
        </w:r>
      </w:hyperlink>
      <w:r w:rsidRPr="00EA0DF9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t>Management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of aniridic keratopathy with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keratolimbal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allograft: a limbal stem cell transplantation technique</w:t>
      </w:r>
      <w:r w:rsidRPr="00EA0DF9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Ophthalmology. 2003 Jan;110(1):125-30  </w:t>
      </w:r>
    </w:p>
    <w:p w14:paraId="2CBF1A2B" w14:textId="151BEDF8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Erika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Bonacci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FEBO, Adriano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Fasolo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MSc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Camilla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Pagnacco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FEBO, Francesca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Bosello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PhD, Giorgio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Marchini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and Emilio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Pedrotti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, MD, FEBO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Simple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Epithelial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Ocular Surface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Reconstruction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After Severe Ocular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Burn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Injury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Cornea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2025;44:508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–513</w:t>
      </w:r>
    </w:p>
    <w:p w14:paraId="62297FFA" w14:textId="77777777" w:rsidR="0025644C" w:rsidRPr="00EA0DF9" w:rsidRDefault="0025644C" w:rsidP="00E3131F">
      <w:pPr>
        <w:tabs>
          <w:tab w:val="num" w:pos="720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122928" w14:textId="667987BA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lastRenderedPageBreak/>
        <w:t xml:space="preserve">Jennifer Y. Li, MD,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Maria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S. Cortina, MD Mark A. Greiner, MD, Anthony N.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Kuo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MD,Darby</w:t>
      </w:r>
      <w:proofErr w:type="spellEnd"/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D. Miller, MD, MPH,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Roni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Shtein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, MD, MS,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Peter B.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Veldman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, MD, Jia Yin, MD, PhD, Stephen J. Kim, MD, Joanne F. Shen, MD</w:t>
      </w:r>
    </w:p>
    <w:p w14:paraId="61C1C264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Complications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Allograft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</w:p>
    <w:p w14:paraId="614B4E84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Report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American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Academy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Ophthalmology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Ophthalmology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2024;131:1121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-1131</w:t>
      </w:r>
    </w:p>
    <w:p w14:paraId="76D5EA8F" w14:textId="77777777" w:rsidR="0025644C" w:rsidRPr="00EA0DF9" w:rsidRDefault="0025644C" w:rsidP="00E3131F">
      <w:pPr>
        <w:tabs>
          <w:tab w:val="num" w:pos="720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70F24E" w14:textId="77777777" w:rsidR="0025644C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Kate A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Basu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 (2022) 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Review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Diagnosis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Treatment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Front.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Med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9:836009.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doi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: 10.3389/fmed.2022.836009</w:t>
      </w:r>
    </w:p>
    <w:p w14:paraId="52B1D711" w14:textId="3F856B44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br/>
        <w:t xml:space="preserve">Le Q, Xu J, Deng SX. The diagnosis of limbal stem cell deficiency.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Ocul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Surf.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</w:rPr>
        <w:t>2018;16:58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</w:rPr>
        <w:t>–69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B948B22" w14:textId="7FB24499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Lent-Schochet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Akbar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Hou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JH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Farooq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AV (2025)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Diagnostic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approach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to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cell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Front. Ophthalmol. 4:1524595.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doi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: 10.3389/fopht.2024.1524595</w:t>
      </w:r>
    </w:p>
    <w:p w14:paraId="74FEA9F3" w14:textId="68CABF98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5250ED9" w14:textId="30274D6B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Li Z, Yang K, Zhou Y, Wu T, Zhang </w:t>
      </w:r>
      <w:proofErr w:type="spellStart"/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H,Yang</w:t>
      </w:r>
      <w:proofErr w:type="spellEnd"/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Q, Wang Q, Huang Y and Wang L (2022)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keratolimbal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allograft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with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deep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anterior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lamellar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keratoplasty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bilateral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cell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Front.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Med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9:986194. </w:t>
      </w:r>
    </w:p>
    <w:p w14:paraId="6ED1BEDC" w14:textId="7F93F893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6AB42CF1" w14:textId="33D646C2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Luca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Ilari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MD,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Sheraz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M. Daya, FRCS(Ed), FACS.  Long-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term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Keratolimbal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Allograft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Treatment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Severe Ocular Surface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Disorders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Ophthalmology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2002;109:1278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–1284</w:t>
      </w:r>
    </w:p>
    <w:p w14:paraId="3E654795" w14:textId="77777777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CE8E429" w14:textId="140C9C0A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sz w:val="24"/>
          <w:szCs w:val="24"/>
        </w:rPr>
        <w:t xml:space="preserve">Luis F. Mejía, Claudia Acosta, Juan P. Santamaría. </w:t>
      </w:r>
      <w:hyperlink r:id="rId7" w:tgtFrame="_blank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Use of Non-Preserved Human Amniotic Membrane for the Reconstruction of the Ocular Surface CORNEA 19(3):288-291, 2000.</w:t>
        </w:r>
      </w:hyperlink>
    </w:p>
    <w:p w14:paraId="2D85C09A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3AA743" w14:textId="42CAEF4B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sz w:val="24"/>
          <w:szCs w:val="24"/>
        </w:rPr>
        <w:t xml:space="preserve">Luis F. Mejía, Claudia Acosta, Juan P. Santamaría </w:t>
      </w:r>
      <w:hyperlink r:id="rId8" w:tgtFrame="_blank" w:history="1"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Utilización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Membrana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Amniótica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No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Preservada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Defectos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Complejos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la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Superficie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Ocular.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Archivos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la SAOO, 2000.</w:t>
        </w:r>
      </w:hyperlink>
    </w:p>
    <w:p w14:paraId="082FB4F2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C67E52" w14:textId="4221F5A0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  <w:r w:rsidRPr="00EA0DF9">
        <w:rPr>
          <w:rFonts w:ascii="Arial" w:hAnsi="Arial" w:cs="Arial"/>
          <w:sz w:val="24"/>
          <w:szCs w:val="24"/>
        </w:rPr>
        <w:t xml:space="preserve">Luis F. </w:t>
      </w:r>
      <w:proofErr w:type="spellStart"/>
      <w:r w:rsidRPr="00EA0DF9">
        <w:rPr>
          <w:rFonts w:ascii="Arial" w:hAnsi="Arial" w:cs="Arial"/>
          <w:sz w:val="24"/>
          <w:szCs w:val="24"/>
        </w:rPr>
        <w:t>Mejía.</w:t>
      </w:r>
      <w:hyperlink r:id="rId9" w:tgtFrame="_blank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Utilización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Membrana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Amniótica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la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Reconstrucción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la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Superficie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Ocular.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Revisión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un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Tema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»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Revista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la Sociedad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Colombiana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Oftalmología</w:t>
        </w:r>
        <w:proofErr w:type="spellEnd"/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37(1):35-46, 2004.</w:t>
        </w:r>
      </w:hyperlink>
    </w:p>
    <w:p w14:paraId="2BD8DAE3" w14:textId="77777777" w:rsidR="00EA0DF9" w:rsidRPr="00EA0DF9" w:rsidRDefault="00EA0DF9" w:rsidP="0025644C">
      <w:pPr>
        <w:autoSpaceDE w:val="0"/>
        <w:autoSpaceDN w:val="0"/>
        <w:adjustRightInd w:val="0"/>
        <w:spacing w:after="0" w:line="276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14:paraId="0B3E8045" w14:textId="15B23575" w:rsidR="00EA0DF9" w:rsidRPr="00EA0DF9" w:rsidRDefault="00EA0DF9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EA0DF9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F. Mejía, Juan G. Sánchez, Héctor Escobar</w:t>
      </w:r>
      <w:r w:rsidRPr="00EA0DF9">
        <w:rPr>
          <w:rFonts w:ascii="Arial" w:hAnsi="Arial" w:cs="Arial"/>
          <w:sz w:val="24"/>
          <w:szCs w:val="24"/>
          <w:shd w:val="clear" w:color="auto" w:fill="FFFFFF"/>
        </w:rPr>
        <w:t>. </w:t>
      </w:r>
      <w:hyperlink r:id="rId10" w:tgtFrame="_blank" w:history="1"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Management of Primary Pterygia Using Free Conjunctival and Limbal-Conjunctival Autografts, Without Antimetabolites</w:t>
        </w:r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CORNEA 24(8):972-975, 2005.</w:t>
        </w:r>
      </w:hyperlink>
    </w:p>
    <w:p w14:paraId="70B975C9" w14:textId="15E88746" w:rsidR="00EA0DF9" w:rsidRPr="00EA0DF9" w:rsidRDefault="00EA0DF9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49A4799" w14:textId="297CB1F6" w:rsidR="00EA0DF9" w:rsidRPr="00EA0DF9" w:rsidRDefault="00EA0DF9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single"/>
          <w:lang w:val="es-CO"/>
        </w:rPr>
      </w:pPr>
      <w:r w:rsidRPr="00EA0DF9">
        <w:rPr>
          <w:rFonts w:ascii="Arial" w:hAnsi="Arial" w:cs="Arial"/>
          <w:sz w:val="24"/>
          <w:szCs w:val="24"/>
        </w:rPr>
        <w:t xml:space="preserve">Luis F. Mejía, M.D., Juan P. Santamaría, M.D., Miguel Cuevas, M.D., Andrea Córdoba, M.D., Sergio Carvajal, </w:t>
      </w:r>
      <w:proofErr w:type="gramStart"/>
      <w:r w:rsidRPr="00EA0DF9">
        <w:rPr>
          <w:rFonts w:ascii="Arial" w:hAnsi="Arial" w:cs="Arial"/>
          <w:sz w:val="24"/>
          <w:szCs w:val="24"/>
        </w:rPr>
        <w:t>M.D</w:t>
      </w:r>
      <w:r w:rsidRPr="00EA0DF9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EA0DF9">
        <w:rPr>
          <w:rFonts w:ascii="Arial" w:hAnsi="Arial" w:cs="Arial"/>
          <w:sz w:val="24"/>
          <w:szCs w:val="24"/>
        </w:rPr>
        <w:t xml:space="preserve"> </w:t>
      </w:r>
      <w:hyperlink r:id="rId11" w:tgtFrame="_blank" w:history="1"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Comparison of 4 Techniques for Limbal-Conjunctival Autograft Fixation in Primary Pterygium Surgery.</w:t>
        </w:r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EA0DF9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European Journal of Ophthalmology 2016. DOI:10.5301/ejo.5000924.</w:t>
        </w:r>
      </w:hyperlink>
    </w:p>
    <w:p w14:paraId="069D5D31" w14:textId="77777777" w:rsidR="0025644C" w:rsidRPr="00EA0DF9" w:rsidRDefault="0025644C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414497" w14:textId="70F15021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Moshirfar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M.; Masud, M.; Harvey, D.H.; Payne, C.; Bruce, E.; Ronquillo, Y.C.;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Hoopes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P.C.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Multifold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Etiologies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: A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Comprehensive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Review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the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Etiologies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Additional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Treatment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Options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J. Clin.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Med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. 2023, 12, 4418. https:// doi.org/10.3390/jcm12134418</w:t>
      </w:r>
    </w:p>
    <w:p w14:paraId="5EF11105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80824C8" w14:textId="14F5E64A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Neha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Jain, MS,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Vikas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Mittal, MS, and Dharma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Sanandiya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, MS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Simple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Epithelial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Without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Amniotic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Membrane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Grafting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in Unilateral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: A Case Series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6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Patients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Cornea 2025;44:80–85</w:t>
      </w:r>
    </w:p>
    <w:p w14:paraId="54FF1E57" w14:textId="27AF2EA6" w:rsidR="00E3131F" w:rsidRPr="00EA0DF9" w:rsidRDefault="00E3131F" w:rsidP="00E313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br/>
        <w:t xml:space="preserve">Nubile M,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Lanzini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M, Miri A, et al. In vivo confocal microscopy in diagnosis of limbal stem cell deficiency. Am J Ophthalmol.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</w:rPr>
        <w:t>2013;155:220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</w:rPr>
        <w:t>–232.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A535D6B" w14:textId="77777777" w:rsidR="0025644C" w:rsidRPr="00EA0DF9" w:rsidRDefault="00770EB1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Singh R, Joseph A,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Umapathy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T, Tint NL,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</w:rPr>
        <w:t>Dua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</w:rPr>
        <w:t xml:space="preserve"> HS. Impression</w:t>
      </w:r>
      <w:r w:rsidR="00FC6CC0" w:rsidRPr="00EA0D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0DF9">
        <w:rPr>
          <w:rFonts w:ascii="Arial" w:hAnsi="Arial" w:cs="Arial"/>
          <w:color w:val="000000" w:themeColor="text1"/>
          <w:sz w:val="24"/>
          <w:szCs w:val="24"/>
        </w:rPr>
        <w:t>cytology of the ocular surface. Br J Ophthalmol. (2005) 89:1655– 9</w:t>
      </w:r>
    </w:p>
    <w:p w14:paraId="1CFDE0DD" w14:textId="77777777" w:rsidR="0025644C" w:rsidRPr="00EA0DF9" w:rsidRDefault="0025644C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92907B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SAJJAD AHMAD.  Concise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Review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: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Dysfunction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Distressdoi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: 10.3389/fmed.2022.986194 </w:t>
      </w:r>
      <w:hyperlink r:id="rId12" w:history="1">
        <w:r w:rsidRPr="00EA0DF9">
          <w:rPr>
            <w:rStyle w:val="Hipervnculo"/>
            <w:rFonts w:ascii="Arial" w:hAnsi="Arial" w:cs="Arial"/>
            <w:color w:val="000000" w:themeColor="text1"/>
            <w:sz w:val="24"/>
            <w:szCs w:val="24"/>
            <w:lang w:val="es-CO"/>
          </w:rPr>
          <w:t>http://dx.doi.org/</w:t>
        </w:r>
      </w:hyperlink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10.5966/sctm.2011-0037</w:t>
      </w:r>
    </w:p>
    <w:p w14:paraId="39BDAD81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52A8392E" w14:textId="77777777" w:rsidR="0025644C" w:rsidRPr="00EA0DF9" w:rsidRDefault="0025644C" w:rsidP="002564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Sophie X. Deng, MD et al.  Global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Consensus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Definition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Classification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Diagnosis,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Staging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Cornea 2019;38:364–375</w:t>
      </w:r>
    </w:p>
    <w:p w14:paraId="2FD7FDF7" w14:textId="077E6829" w:rsidR="00287610" w:rsidRPr="00EA0DF9" w:rsidRDefault="00770EB1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Shanbhag</w:t>
      </w:r>
      <w:proofErr w:type="spellEnd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SS, Kate A, </w:t>
      </w:r>
      <w:proofErr w:type="spellStart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Ganguly</w:t>
      </w:r>
      <w:proofErr w:type="spellEnd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S, </w:t>
      </w:r>
      <w:proofErr w:type="spellStart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Jakati</w:t>
      </w:r>
      <w:proofErr w:type="spellEnd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S, Deshmukh R, </w:t>
      </w:r>
      <w:proofErr w:type="spellStart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Basu</w:t>
      </w:r>
      <w:proofErr w:type="spellEnd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S. Five- to Twelve-Year Outcomes of Autologous Simple Limbal Epithelial Transplantation: Long-Term Corneal Epithelial Imaging and Phenotypic Analysis. Am J Ophthalmol. 2025 </w:t>
      </w:r>
      <w:proofErr w:type="gramStart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May;273:107</w:t>
      </w:r>
      <w:proofErr w:type="gramEnd"/>
      <w:r w:rsidR="00E3131F" w:rsidRPr="00EA0DF9">
        <w:rPr>
          <w:rFonts w:ascii="Arial" w:hAnsi="Arial" w:cs="Arial"/>
          <w:color w:val="212121"/>
          <w:sz w:val="24"/>
          <w:szCs w:val="24"/>
          <w:shd w:val="clear" w:color="auto" w:fill="FFFFFF"/>
        </w:rPr>
        <w:t>-118.</w:t>
      </w: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</w:p>
    <w:p w14:paraId="176EAC96" w14:textId="0BDFB91B" w:rsidR="00EA0DF9" w:rsidRPr="00EA0DF9" w:rsidRDefault="00EA0DF9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20CD06A5" w14:textId="02E4EB4C" w:rsidR="00EA0DF9" w:rsidRPr="00EA0DF9" w:rsidRDefault="00EA0DF9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>Shanbhag</w:t>
      </w:r>
      <w:proofErr w:type="spellEnd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, S. S., Patel, C. N., </w:t>
      </w:r>
      <w:proofErr w:type="spellStart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>Donthineni</w:t>
      </w:r>
      <w:proofErr w:type="spellEnd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, P. R., Goyal, R., </w:t>
      </w:r>
      <w:proofErr w:type="spellStart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>Basu</w:t>
      </w:r>
      <w:proofErr w:type="spellEnd"/>
      <w:r w:rsidRPr="00EA0DF9">
        <w:rPr>
          <w:rFonts w:ascii="Arial" w:hAnsi="Arial" w:cs="Arial"/>
          <w:color w:val="232323"/>
          <w:sz w:val="24"/>
          <w:szCs w:val="24"/>
          <w:shd w:val="clear" w:color="auto" w:fill="FFFFFF"/>
        </w:rPr>
        <w:t>, S., &amp; Singh, V. (2019). Simple limbal epithelial transplantation (SLET): Review of indications, surgical technique, mechanism, outcomes, limitations, and impact. Indian Journal of Ophthalmology, 67(8), 1265–1277. https://doi.org/10.4103/ijo.IJO_117_19</w:t>
      </w:r>
    </w:p>
    <w:p w14:paraId="613B7261" w14:textId="49D2A45F" w:rsidR="00287610" w:rsidRPr="00EA0DF9" w:rsidRDefault="00287610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0F8A8B4" w14:textId="56215B9F" w:rsidR="00FC6CC0" w:rsidRPr="00EA0DF9" w:rsidRDefault="00FC6CC0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Shanbhag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SS, Patel CN,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Goyal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R,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Donthineni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PR, Singh V,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Basu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S. Simple limbal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epithelial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(SLET):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Review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indications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surgical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technique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lastRenderedPageBreak/>
        <w:t>mechanism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limitations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and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impact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Indian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J Ophthalmol </w:t>
      </w:r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2019;67:1265</w:t>
      </w:r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-77.</w:t>
      </w:r>
    </w:p>
    <w:p w14:paraId="2AC78F67" w14:textId="44D5197E" w:rsidR="00FC6CC0" w:rsidRPr="00EA0DF9" w:rsidRDefault="00FC6CC0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481BABAC" w14:textId="74F3BBC1" w:rsidR="00FC6CC0" w:rsidRPr="00EA0DF9" w:rsidRDefault="00E3131F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Shang </w:t>
      </w:r>
      <w:proofErr w:type="spellStart"/>
      <w:proofErr w:type="gram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Li,Yinghui</w:t>
      </w:r>
      <w:proofErr w:type="spellEnd"/>
      <w:proofErr w:type="gram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Wang,Zhiqun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Wang,Shijing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Deng,Lan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Lv,and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YingJie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Clinical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Outcomes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of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Keratolimbal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Allograft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With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Oral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Mucosal</w:t>
      </w:r>
      <w:proofErr w:type="spellEnd"/>
      <w:r w:rsidR="00950D29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Transplantation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for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Limbal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Cell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Deficiency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With</w:t>
      </w:r>
      <w:proofErr w:type="spellEnd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="00FC6CC0"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Symblepharon</w:t>
      </w:r>
      <w:proofErr w:type="spellEnd"/>
    </w:p>
    <w:p w14:paraId="51929710" w14:textId="4AEC05E9" w:rsidR="00FC6CC0" w:rsidRPr="00EA0DF9" w:rsidRDefault="00FC6CC0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Stem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Cells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International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Volume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2025,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Article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ID 8426444, 10 </w:t>
      </w:r>
      <w:proofErr w:type="spellStart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>pages</w:t>
      </w:r>
      <w:proofErr w:type="spellEnd"/>
      <w:r w:rsidRPr="00EA0DF9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hyperlink r:id="rId13" w:history="1">
        <w:r w:rsidRPr="00EA0DF9">
          <w:rPr>
            <w:rStyle w:val="Hipervnculo"/>
            <w:rFonts w:ascii="Arial" w:hAnsi="Arial" w:cs="Arial"/>
            <w:sz w:val="24"/>
            <w:szCs w:val="24"/>
            <w:lang w:val="es-CO"/>
          </w:rPr>
          <w:t>https://doi.org/10.1155/sci/8426444</w:t>
        </w:r>
      </w:hyperlink>
    </w:p>
    <w:p w14:paraId="5BABA298" w14:textId="62899116" w:rsidR="00EA0DF9" w:rsidRPr="00EA0DF9" w:rsidRDefault="00EA0DF9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7DED105" w14:textId="0272361F" w:rsidR="00EA0DF9" w:rsidRPr="00EA0DF9" w:rsidRDefault="00EA0DF9" w:rsidP="00EA0D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</w:pPr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Singh R, Joseph A, 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Umapathy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 T, et al</w:t>
      </w:r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Impression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cytology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of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the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ocular </w:t>
      </w:r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Surface </w:t>
      </w:r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British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Journal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of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 xml:space="preserve"> </w:t>
      </w:r>
      <w:proofErr w:type="spellStart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Ophthalmology</w:t>
      </w:r>
      <w:proofErr w:type="spellEnd"/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 2005;</w:t>
      </w:r>
      <w:r w:rsidRPr="00EA0DF9">
        <w:rPr>
          <w:rFonts w:ascii="Arial" w:eastAsia="Times New Roman" w:hAnsi="Arial" w:cs="Arial"/>
          <w:b/>
          <w:bCs/>
          <w:color w:val="333333"/>
          <w:sz w:val="24"/>
          <w:szCs w:val="24"/>
          <w:lang w:val="es-CO" w:eastAsia="es-CO"/>
        </w:rPr>
        <w:t>89:</w:t>
      </w:r>
      <w:r w:rsidRPr="00EA0DF9">
        <w:rPr>
          <w:rFonts w:ascii="Arial" w:eastAsia="Times New Roman" w:hAnsi="Arial" w:cs="Arial"/>
          <w:color w:val="333333"/>
          <w:sz w:val="24"/>
          <w:szCs w:val="24"/>
          <w:lang w:val="es-CO" w:eastAsia="es-CO"/>
        </w:rPr>
        <w:t>1655-1659.</w:t>
      </w:r>
    </w:p>
    <w:p w14:paraId="0D467DFC" w14:textId="77777777" w:rsidR="00EA0DF9" w:rsidRPr="00EA0DF9" w:rsidRDefault="00EA0DF9" w:rsidP="00950D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28FDA19" w14:textId="77D6FA1F" w:rsidR="00EA0DF9" w:rsidRPr="00EA0DF9" w:rsidRDefault="00EA0DF9" w:rsidP="00950D29">
      <w:pPr>
        <w:autoSpaceDE w:val="0"/>
        <w:autoSpaceDN w:val="0"/>
        <w:adjustRightInd w:val="0"/>
        <w:spacing w:after="0" w:line="276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  <w:r w:rsidRPr="00EA0DF9">
        <w:rPr>
          <w:rFonts w:ascii="Arial" w:hAnsi="Arial" w:cs="Arial"/>
          <w:color w:val="222222"/>
          <w:sz w:val="24"/>
          <w:szCs w:val="24"/>
          <w:shd w:val="clear" w:color="auto" w:fill="FFFFFF"/>
        </w:rPr>
        <w:t>Yang, S., Lee, H.J., Shin, S. et al. Limbal epithelial stem cell sheets from young donors have better regenerative potential. Sci Rep </w:t>
      </w:r>
      <w:r w:rsidRPr="00EA0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12</w:t>
      </w:r>
      <w:r w:rsidRPr="00EA0DF9">
        <w:rPr>
          <w:rFonts w:ascii="Arial" w:hAnsi="Arial" w:cs="Arial"/>
          <w:color w:val="222222"/>
          <w:sz w:val="24"/>
          <w:szCs w:val="24"/>
          <w:shd w:val="clear" w:color="auto" w:fill="FFFFFF"/>
        </w:rPr>
        <w:t>, 14191 (2022). https://doi.org/10.1038/s41598-022-17821-9</w:t>
      </w:r>
    </w:p>
    <w:p w14:paraId="73C21825" w14:textId="78252B5D" w:rsidR="00421956" w:rsidRPr="00EA0DF9" w:rsidRDefault="00421956" w:rsidP="00950D29">
      <w:pPr>
        <w:autoSpaceDE w:val="0"/>
        <w:autoSpaceDN w:val="0"/>
        <w:adjustRightInd w:val="0"/>
        <w:spacing w:after="0" w:line="276" w:lineRule="auto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sectPr w:rsidR="00421956" w:rsidRPr="00EA0D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B1"/>
    <w:rsid w:val="00144C1A"/>
    <w:rsid w:val="0025644C"/>
    <w:rsid w:val="00287610"/>
    <w:rsid w:val="00421956"/>
    <w:rsid w:val="007466DF"/>
    <w:rsid w:val="00770EB1"/>
    <w:rsid w:val="007E538A"/>
    <w:rsid w:val="008758E3"/>
    <w:rsid w:val="00950D29"/>
    <w:rsid w:val="009924D4"/>
    <w:rsid w:val="00E3131F"/>
    <w:rsid w:val="00EA0DF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5CC0"/>
  <w15:chartTrackingRefBased/>
  <w15:docId w15:val="{E361BE2C-6482-45AC-AA39-EF82DCC2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EB1"/>
    <w:rPr>
      <w:color w:val="0563C1" w:themeColor="hyperlink"/>
      <w:u w:val="single"/>
    </w:rPr>
  </w:style>
  <w:style w:type="character" w:customStyle="1" w:styleId="period">
    <w:name w:val="period"/>
    <w:basedOn w:val="Fuentedeprrafopredeter"/>
    <w:rsid w:val="00770EB1"/>
  </w:style>
  <w:style w:type="character" w:customStyle="1" w:styleId="cit">
    <w:name w:val="cit"/>
    <w:basedOn w:val="Fuentedeprrafopredeter"/>
    <w:rsid w:val="00770EB1"/>
  </w:style>
  <w:style w:type="character" w:customStyle="1" w:styleId="citation-doi">
    <w:name w:val="citation-doi"/>
    <w:basedOn w:val="Fuentedeprrafopredeter"/>
    <w:rsid w:val="00770EB1"/>
  </w:style>
  <w:style w:type="character" w:customStyle="1" w:styleId="secondary-date">
    <w:name w:val="secondary-date"/>
    <w:basedOn w:val="Fuentedeprrafopredeter"/>
    <w:rsid w:val="00770EB1"/>
  </w:style>
  <w:style w:type="character" w:customStyle="1" w:styleId="authors-list-item">
    <w:name w:val="authors-list-item"/>
    <w:basedOn w:val="Fuentedeprrafopredeter"/>
    <w:rsid w:val="00770EB1"/>
  </w:style>
  <w:style w:type="character" w:customStyle="1" w:styleId="author-sup-separator">
    <w:name w:val="author-sup-separator"/>
    <w:basedOn w:val="Fuentedeprrafopredeter"/>
    <w:rsid w:val="00770EB1"/>
  </w:style>
  <w:style w:type="character" w:customStyle="1" w:styleId="comma">
    <w:name w:val="comma"/>
    <w:basedOn w:val="Fuentedeprrafopredeter"/>
    <w:rsid w:val="00770EB1"/>
  </w:style>
  <w:style w:type="character" w:styleId="Mencinsinresolver">
    <w:name w:val="Unresolved Mention"/>
    <w:basedOn w:val="Fuentedeprrafopredeter"/>
    <w:uiPriority w:val="99"/>
    <w:semiHidden/>
    <w:unhideWhenUsed/>
    <w:rsid w:val="00770EB1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uentedeprrafopredeter"/>
    <w:rsid w:val="00EA0DF9"/>
  </w:style>
  <w:style w:type="character" w:customStyle="1" w:styleId="highwire-citation-author">
    <w:name w:val="highwire-citation-author"/>
    <w:basedOn w:val="Fuentedeprrafopredeter"/>
    <w:rsid w:val="00EA0DF9"/>
  </w:style>
  <w:style w:type="character" w:customStyle="1" w:styleId="nlm-surname">
    <w:name w:val="nlm-surname"/>
    <w:basedOn w:val="Fuentedeprrafopredeter"/>
    <w:rsid w:val="00EA0DF9"/>
  </w:style>
  <w:style w:type="character" w:customStyle="1" w:styleId="citation-et">
    <w:name w:val="citation-et"/>
    <w:basedOn w:val="Fuentedeprrafopredeter"/>
    <w:rsid w:val="00EA0DF9"/>
  </w:style>
  <w:style w:type="character" w:customStyle="1" w:styleId="highwire-cite-metadata-journal">
    <w:name w:val="highwire-cite-metadata-journal"/>
    <w:basedOn w:val="Fuentedeprrafopredeter"/>
    <w:rsid w:val="00EA0DF9"/>
  </w:style>
  <w:style w:type="character" w:customStyle="1" w:styleId="highwire-cite-metadata-year">
    <w:name w:val="highwire-cite-metadata-year"/>
    <w:basedOn w:val="Fuentedeprrafopredeter"/>
    <w:rsid w:val="00EA0DF9"/>
  </w:style>
  <w:style w:type="character" w:customStyle="1" w:styleId="highwire-cite-metadata-volume">
    <w:name w:val="highwire-cite-metadata-volume"/>
    <w:basedOn w:val="Fuentedeprrafopredeter"/>
    <w:rsid w:val="00EA0DF9"/>
  </w:style>
  <w:style w:type="character" w:customStyle="1" w:styleId="highwire-cite-metadata-pages">
    <w:name w:val="highwire-cite-metadata-pages"/>
    <w:basedOn w:val="Fuentedeprrafopredeter"/>
    <w:rsid w:val="00EA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mejia.com/wp-content/uploads/2020/08/UTILIZACION-DE-MEMBRANA-AMNIOTICA-NO-PRESERVADA-EN-DEFECTOS-COMPLEJOS-DE-LA-SUPERFICIE-OCULAR-AA.pdf" TargetMode="External"/><Relationship Id="rId13" Type="http://schemas.openxmlformats.org/officeDocument/2006/relationships/hyperlink" Target="https://doi.org/10.1155/sci/8426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fmejia.com/wp-content/uploads/2020/08/Use-of-Nonpreserved-Human-Amniotic-Membrane-for-the-reconstruction-of-the-ocular-surface-CORNEA.pdf" TargetMode="External"/><Relationship Id="rId12" Type="http://schemas.openxmlformats.org/officeDocument/2006/relationships/hyperlink" Target="http://dx.doi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Schwartz+GS&amp;cauthor_id=12511357" TargetMode="External"/><Relationship Id="rId11" Type="http://schemas.openxmlformats.org/officeDocument/2006/relationships/hyperlink" Target="https://lfmejia.com/wp-content/uploads/2020/08/comparison-4-techniques-for-limbal-conjunctival-autograft-fixation-in-primary-pterygium-surgery-v2-lfmejia.pdf" TargetMode="External"/><Relationship Id="rId5" Type="http://schemas.openxmlformats.org/officeDocument/2006/relationships/hyperlink" Target="https://pubmed.ncbi.nlm.nih.gov/?term=Djalilian+AR&amp;cauthor_id=125113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fmejia.com/wp-content/uploads/2020/08/management-of-primary-pterygia-using-free-conjunctival-autografts-CORNEA.pdf" TargetMode="External"/><Relationship Id="rId4" Type="http://schemas.openxmlformats.org/officeDocument/2006/relationships/hyperlink" Target="https://pubmed.ncbi.nlm.nih.gov/?term=Holland+EJ&amp;cauthor_id=12511357" TargetMode="External"/><Relationship Id="rId9" Type="http://schemas.openxmlformats.org/officeDocument/2006/relationships/hyperlink" Target="https://lfmejia.com/wp-content/uploads/2020/08/UTILIZACION-DE-MEMBRANA-AMNIOTICA-EN-LA-RECONSTRUCCION-DE-LA-SUPERFICIE-OCULA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1215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MEJIA ECHAVARRIA</dc:creator>
  <cp:keywords/>
  <dc:description/>
  <cp:lastModifiedBy>LUIS FERNANDO MEJIA ECHAVARRIA</cp:lastModifiedBy>
  <cp:revision>8</cp:revision>
  <dcterms:created xsi:type="dcterms:W3CDTF">2026-02-02T23:57:00Z</dcterms:created>
  <dcterms:modified xsi:type="dcterms:W3CDTF">2026-03-18T02:48:00Z</dcterms:modified>
</cp:coreProperties>
</file>